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年西安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规划基金课题申报指标表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为保证西安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社科规划基金课题的质量，同时也为各高校科研处（社科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）做好课题初步筛选工作提供依据，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西安</w:t>
      </w:r>
      <w:r>
        <w:rPr>
          <w:rFonts w:hint="eastAsia" w:ascii="仿宋_GB2312" w:hAnsi="仿宋_GB2312" w:eastAsia="仿宋_GB2312" w:cs="仿宋_GB2312"/>
          <w:sz w:val="32"/>
          <w:szCs w:val="32"/>
        </w:rPr>
        <w:t>市社科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基金办结合以往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西安地区各高校及科研院所的课题申报数量以及课题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结题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的质量等因素综合考虑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，实行课题申报数量限报政策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请各单位严格按照申报指标上报，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具体数字详见下表：</w:t>
      </w:r>
    </w:p>
    <w:tbl>
      <w:tblPr>
        <w:tblStyle w:val="3"/>
        <w:tblW w:w="6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申报数量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陕西师范大学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西北大学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西安交通大学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长安大学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西安电子科技大学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西北政法大学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西安建筑科技大学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西安理工大学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西北工业大学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西安外国语大学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陕西学前师范学院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西安文理学院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西安工程大学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陕西科技大学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西安邮电大学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西安科技大学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西安石油大学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西安工业大学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西安财经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陕西省社会科学院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西安市委党校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西安体育学院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陕西国际商贸学院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西京学院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西安外事学院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西安欧亚学院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培华学院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西安翻译学院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西安交大城市学院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西安思源学院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西北大学现代学院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西安财经学院行知学院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西安建筑科技大学华清学院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西安医学院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西安美术学院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西安音乐学院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西安航空学院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西安铁路职业技术学院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西安职业技术学院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320" w:firstLineChars="1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西安广播电视大学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</w:tr>
    </w:tbl>
    <w:p>
      <w:pPr>
        <w:ind w:firstLine="1205" w:firstLineChars="400"/>
        <w:jc w:val="lef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备注：凡未列入本表的高校、科研院所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eastAsia="zh-CN"/>
        </w:rPr>
        <w:t>、党委政府部门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，每家单位申报数量应控制在5个以内。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D6DEE"/>
    <w:rsid w:val="57D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2020-04-03T08:31:00Z</dcterms:created>
  <dc:creator>空白键</dc:creator>
  <cp:lastModifiedBy>空白键</cp:lastModifiedBy>
  <dcterms:modified xsi:type="dcterms:W3CDTF">2020-04-03T08:32:20Z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